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广东三水发展控股投资有限公司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财务总监应聘报名表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15"/>
          <w:szCs w:val="15"/>
        </w:rPr>
      </w:pPr>
    </w:p>
    <w:tbl>
      <w:tblPr>
        <w:tblStyle w:val="3"/>
        <w:tblpPr w:leftFromText="180" w:rightFromText="180" w:vertAnchor="text" w:horzAnchor="margin" w:tblpXSpec="center" w:tblpY="2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71"/>
        <w:gridCol w:w="1412"/>
        <w:gridCol w:w="1133"/>
        <w:gridCol w:w="1693"/>
        <w:gridCol w:w="127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ind w:left="-168" w:firstLine="224" w:firstLineChars="8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民族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600"/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60" w:lineRule="auto"/>
              <w:ind w:firstLine="750" w:firstLineChars="250"/>
              <w:jc w:val="left"/>
              <w:rPr>
                <w:rFonts w:hint="eastAsia"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身份证号码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婚否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最高学历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家庭住址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户口所在地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毕业学校1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本科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专业1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毕业学校2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研究生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专业2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研究生专业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工作年限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专业职称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应聘岗位</w:t>
            </w:r>
          </w:p>
        </w:tc>
        <w:tc>
          <w:tcPr>
            <w:tcW w:w="8751" w:type="dxa"/>
            <w:gridSpan w:val="6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0422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工作能力及其他专长：</w:t>
            </w:r>
          </w:p>
          <w:p>
            <w:pPr>
              <w:spacing w:line="360" w:lineRule="auto"/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422" w:type="dxa"/>
            <w:gridSpan w:val="7"/>
            <w:vAlign w:val="top"/>
          </w:tcPr>
          <w:p>
            <w:pPr>
              <w:spacing w:before="75" w:after="100" w:afterAutospacing="1" w:line="360" w:lineRule="exact"/>
              <w:rPr>
                <w:rFonts w:hint="eastAsia" w:ascii="宋体" w:hAnsi="宋体" w:cs="仿宋_GB2312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15"/>
                <w:sz w:val="28"/>
                <w:szCs w:val="28"/>
              </w:rPr>
              <w:t>自我评价：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799C"/>
    <w:rsid w:val="5A83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2018-09-27T07:31:00Z</dcterms:created>
  <dc:creator>Feng.</dc:creator>
  <cp:lastModifiedBy>Feng.</cp:lastModifiedBy>
  <dcterms:modified xsi:type="dcterms:W3CDTF">2018-09-27T07:31:40Z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