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AB86E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有机废物生物转化利用项目实验室设备</w:t>
      </w:r>
      <w:r>
        <w:rPr>
          <w:rFonts w:hint="eastAsia" w:ascii="方正小标宋简体" w:hAnsi="方正小标宋简体" w:eastAsia="方正小标宋简体" w:cs="方正小标宋简体"/>
          <w:sz w:val="44"/>
          <w:szCs w:val="44"/>
        </w:rPr>
        <w:t>采购需求文件</w:t>
      </w:r>
    </w:p>
    <w:p w14:paraId="446C5DA6">
      <w:pPr>
        <w:pStyle w:val="2"/>
        <w:rPr>
          <w:rFonts w:hint="eastAsia"/>
        </w:rPr>
      </w:pPr>
    </w:p>
    <w:p w14:paraId="726BABA8">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采购项目名称：</w:t>
      </w:r>
      <w:r>
        <w:rPr>
          <w:rFonts w:hint="eastAsia" w:ascii="仿宋_GB2312" w:hAnsi="仿宋_GB2312" w:eastAsia="仿宋_GB2312" w:cs="仿宋_GB2312"/>
          <w:sz w:val="32"/>
          <w:szCs w:val="32"/>
          <w:lang w:eastAsia="zh-CN"/>
        </w:rPr>
        <w:t>有机废物生物转化利用项目实验室设备</w:t>
      </w:r>
    </w:p>
    <w:p w14:paraId="2E1ADC91">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采购预算：</w:t>
      </w:r>
      <w:r>
        <w:rPr>
          <w:rFonts w:hint="eastAsia" w:ascii="仿宋_GB2312" w:hAnsi="仿宋_GB2312" w:eastAsia="仿宋_GB2312" w:cs="仿宋_GB2312"/>
          <w:sz w:val="32"/>
          <w:szCs w:val="32"/>
        </w:rPr>
        <w:t>本项目含税总预算为</w:t>
      </w:r>
      <w:r>
        <w:rPr>
          <w:rFonts w:hint="eastAsia" w:ascii="仿宋_GB2312" w:hAnsi="仿宋_GB2312" w:eastAsia="仿宋_GB2312" w:cs="仿宋_GB2312"/>
          <w:sz w:val="32"/>
          <w:szCs w:val="32"/>
          <w:lang w:eastAsia="zh-CN"/>
        </w:rPr>
        <w:t>人民币</w:t>
      </w:r>
      <w:r>
        <w:rPr>
          <w:rFonts w:hint="eastAsia" w:ascii="仿宋_GB2312" w:hAnsi="仿宋_GB2312" w:eastAsia="仿宋_GB2312" w:cs="仿宋_GB2312"/>
          <w:sz w:val="32"/>
          <w:szCs w:val="32"/>
          <w:lang w:val="en-US" w:eastAsia="zh-CN"/>
        </w:rPr>
        <w:t>27.11万</w:t>
      </w:r>
      <w:r>
        <w:rPr>
          <w:rFonts w:hint="eastAsia" w:ascii="仿宋_GB2312" w:hAnsi="仿宋_GB2312" w:eastAsia="仿宋_GB2312" w:cs="仿宋_GB2312"/>
          <w:sz w:val="32"/>
          <w:szCs w:val="32"/>
        </w:rPr>
        <w:t>元。</w:t>
      </w:r>
    </w:p>
    <w:p w14:paraId="78DC4386">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采购背景</w:t>
      </w:r>
      <w:r>
        <w:rPr>
          <w:rFonts w:hint="eastAsia" w:ascii="仿宋_GB2312" w:hAnsi="仿宋_GB2312" w:eastAsia="仿宋_GB2312" w:cs="仿宋_GB2312"/>
          <w:b/>
          <w:bCs/>
          <w:sz w:val="32"/>
          <w:szCs w:val="32"/>
          <w:lang w:val="en-US" w:eastAsia="zh-CN"/>
        </w:rPr>
        <w:t>/基础信息</w:t>
      </w:r>
      <w:r>
        <w:rPr>
          <w:rFonts w:hint="eastAsia" w:ascii="仿宋_GB2312" w:hAnsi="仿宋_GB2312" w:eastAsia="仿宋_GB2312" w:cs="仿宋_GB2312"/>
          <w:sz w:val="32"/>
          <w:szCs w:val="32"/>
        </w:rPr>
        <w:t>：</w:t>
      </w:r>
    </w:p>
    <w:p w14:paraId="5C64908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隶属于国睿公司2026年重点投建的有机废物生物转化利用项目，项目总投资3178.68万元，整体由南部预处理中心与生物转化利用基地两大板块组成。南部预处理中心主要完成厨余垃圾预处理，产出预处理浆料，转运至生物转化利用基地后通过生物转化工艺加工为优质蛋白饲料。为完善有机废物生物转化利用项目实验室硬件配套设施，全面保障项目调试试生产及投产后实验、理化指标检测、样品预处理、微生物培育分析等核心科研及试验工作常态化、规范化开展，现开展本次实验室设备采购工作。</w:t>
      </w:r>
    </w:p>
    <w:p w14:paraId="6485B69B">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采购服务具体需求</w:t>
      </w:r>
    </w:p>
    <w:p w14:paraId="229C3390">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本次采购</w:t>
      </w:r>
      <w:r>
        <w:rPr>
          <w:rFonts w:hint="eastAsia" w:ascii="仿宋_GB2312" w:hAnsi="仿宋_GB2312" w:eastAsia="仿宋_GB2312" w:cs="仿宋_GB2312"/>
          <w:sz w:val="32"/>
          <w:szCs w:val="32"/>
        </w:rPr>
        <w:t>实验室设备</w:t>
      </w:r>
      <w:r>
        <w:rPr>
          <w:rFonts w:hint="eastAsia" w:ascii="仿宋_GB2312" w:hAnsi="仿宋_GB2312" w:eastAsia="仿宋_GB2312" w:cs="仿宋_GB2312"/>
          <w:sz w:val="32"/>
          <w:szCs w:val="32"/>
          <w:lang w:val="en-US" w:eastAsia="zh-CN"/>
        </w:rPr>
        <w:t>一批，具体需求如下：</w:t>
      </w:r>
    </w:p>
    <w:p w14:paraId="492B22C4">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1.产品基础配置标准：包含实验检测、样品处理、培育分析、通风净化、辅助配套等设备一批，具体设备名称、数量、技术参数、规格标准详见附件《有机废物生物转化利用项目实验室设备技术参数要求》。</w:t>
      </w:r>
    </w:p>
    <w:p w14:paraId="1BDDF139">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2.指定交付地点：佛山市三水区有机废物生物转化利用项目地内。</w:t>
      </w:r>
    </w:p>
    <w:p w14:paraId="05BECE2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3.交付与安装要求：</w:t>
      </w:r>
    </w:p>
    <w:p w14:paraId="25031607">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（1）乙方必须在合同约定时间内将全部货物送达指定地点，完成所有设备、材料供货及现场安装、调试工作。</w:t>
      </w:r>
    </w:p>
    <w:p w14:paraId="4C5A105F">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（2）所有设备必须附带原厂正规产品合格证或出厂检测报告，设备性能稳定、精度达标，可正常适配实验室常规实验工况。</w:t>
      </w:r>
    </w:p>
    <w:p w14:paraId="0B58ABA7">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（3）定制类产品（通风柜排气管及净气柜）需上门现场勘测，根据实验室场地实际尺寸、布局定制加工，安装牢固、通风顺畅，符合实验室安全通风规范。</w:t>
      </w:r>
    </w:p>
    <w:p w14:paraId="6C005B5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（4）安装施工过程规范，排气扇打孔安装、设备就位调试、管路铺设等施工不得破坏实验室原有墙体、地面、水电结构，施工后场地整洁无杂物。</w:t>
      </w:r>
    </w:p>
    <w:p w14:paraId="40A1585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eastAsia" w:ascii="仿宋_GB2312" w:hAnsi="仿宋_GB2312" w:eastAsia="仿宋_GB2312" w:cs="仿宋_GB2312"/>
          <w:sz w:val="32"/>
          <w:szCs w:val="32"/>
          <w:lang w:val="en-US" w:eastAsia="zh-CN"/>
        </w:rPr>
        <w:t>（5）安装过程中发生的所有安全事故、人员损伤责任，全部由乙方自行承担。</w:t>
      </w:r>
    </w:p>
    <w:p w14:paraId="5212E39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4.验收要求：</w:t>
      </w:r>
    </w:p>
    <w:p w14:paraId="12832D2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（1）设备外观完好、配件齐全，型号规格与采购清单完全一致，无缺货、错货、破损情况；</w:t>
      </w:r>
    </w:p>
    <w:p w14:paraId="56593ABB">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（2）所有设备通电、试运行正常，各项功能、检测精度符合设备出厂标准及实验室使用要求；</w:t>
      </w:r>
    </w:p>
    <w:p w14:paraId="6BD58BA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（3）校准设备全部数据精准、符合行业规范；</w:t>
      </w:r>
    </w:p>
    <w:p w14:paraId="2F71EE79">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（4）定制安装项目施工合格，使用功能达标，整体项目无质量问题，资料齐全（合格证、施工资料等）。</w:t>
      </w:r>
    </w:p>
    <w:p w14:paraId="23660184">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5.质保及基础售后要求：</w:t>
      </w:r>
    </w:p>
    <w:p w14:paraId="4711DB6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（1）质量保证期：自最终验收合格之日起不少于12个月，若国家强制标准或生产厂家公开承诺的质保期更长，则自动按最长质保期执行。</w:t>
      </w:r>
    </w:p>
    <w:p w14:paraId="3E8F7FB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（2）响应时效：乙方接到采购人故障报修通知后，2小时内响应，8小时内派驻技术人员抵达现场维修；24小时内无法排除故障的，须免费提供同档次备用设备供采购人临时使用。</w:t>
      </w:r>
    </w:p>
    <w:p w14:paraId="60C53CD7">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（3）质保期内所有维修、零配件更换全部免费，不得向采购人收取任何费用。</w:t>
      </w:r>
    </w:p>
    <w:p w14:paraId="4981CA6D">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（4）质保期满后提供终身维护服务，仅收取零配件最低材料成本费，不得加收人工、差旅等其他费用。</w:t>
      </w:r>
    </w:p>
    <w:p w14:paraId="27594AD7">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（5）提供设备操作简单培训，协助使用方工作人员掌握设备基础操作、日常维护及简单故障排查方法。</w:t>
      </w:r>
    </w:p>
    <w:p w14:paraId="1DC8C24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6.交付成套归档资料：设备交付同步移交盖章纸质资料 2 套（产品合格证、出厂检测报告、原厂保修卡、完整供货清单、安装竣工单、验收记录），全套技术图纸、电子说明书、驱动程序等电子版资料以 U 盘形式一并移交采购人存档。</w:t>
      </w:r>
    </w:p>
    <w:p w14:paraId="3306C86E">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付款方式及支付条款</w:t>
      </w:r>
    </w:p>
    <w:p w14:paraId="4371985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1.预付款：签订合同后，乙方提交等额合法合规的增值税专用发票，甲方收到合规发票后，向乙方支付合同金额的30%作为预付款。</w:t>
      </w:r>
    </w:p>
    <w:p w14:paraId="70FB5C4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2.到货款：乙方按照合同约定完成全部货物配送、安装调试工作，经甲方现场验收确认合格无异议后，乙方提交等额合法合规的增值税专用发票；甲方收到合规发票后，支付至合同金额的97%。</w:t>
      </w:r>
    </w:p>
    <w:p w14:paraId="0A97D7A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3.质保金：合同金额的3%作为质保金，在质保期满后，如无质量问题等相关异议，乙方提交等额合法合规的增值税专用发票；甲方收到合规发票后，支付该笔款项。</w:t>
      </w:r>
      <w:bookmarkStart w:id="0" w:name="_GoBack"/>
      <w:bookmarkEnd w:id="0"/>
    </w:p>
    <w:p w14:paraId="4D3BBCBE">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供应商资格要求</w:t>
      </w:r>
    </w:p>
    <w:p w14:paraId="1F9AA41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参与本项目的供应商必须全部满足以下条件，采购人有权核验所有资质原件：</w:t>
      </w:r>
    </w:p>
    <w:p w14:paraId="2C7F62B2">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1.具有独立法人资格，持有合法有效的营业执照，经营范围覆盖本次采购货物类别。</w:t>
      </w:r>
    </w:p>
    <w:p w14:paraId="31F1726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2.具备所供货物的合法经营资质，拥有完善的售后服务体系。</w:t>
      </w:r>
    </w:p>
    <w:p w14:paraId="05B7518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3年经营活动中无重大违法失信记录，未被列入“信用中国”网站（www.creditchina.gov.cn）“记录失信被执行人、重大税收违法失信主体及政府采购严重违法失信行为”记录名单，未处于中国政府采购网（www.ccgp.gov.cn）“政府采购严重违法失信行为信息记录”中的禁止参加政府采购活动期间。供应商自行提供《承诺函》及查询网站截图。</w:t>
      </w:r>
    </w:p>
    <w:p w14:paraId="209A1EC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ascii="仿宋_GB2312" w:hAnsi="仿宋_GB2312" w:eastAsia="仿宋_GB2312" w:cs="仿宋_GB2312"/>
          <w:sz w:val="32"/>
          <w:szCs w:val="32"/>
          <w:lang w:val="en-US" w:eastAsia="zh-CN"/>
        </w:rPr>
        <w:t>4.本项目不接受联合体响应，不允许转包或违法分包。</w:t>
      </w:r>
    </w:p>
    <w:p w14:paraId="4156D1B8">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服务要求时限、最高限价</w:t>
      </w:r>
    </w:p>
    <w:p w14:paraId="4799EA86">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1.服务要求时限</w:t>
      </w:r>
    </w:p>
    <w:p w14:paraId="3987E3B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供应商需负责货物的运输、装卸、安装调试，在合同签订后35日内完成交付。</w:t>
      </w:r>
    </w:p>
    <w:p w14:paraId="1193CE87">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2.最高限价</w:t>
      </w:r>
    </w:p>
    <w:p w14:paraId="2A32D820">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最高限价</w:t>
      </w:r>
      <w:r>
        <w:rPr>
          <w:rFonts w:hint="eastAsia" w:ascii="仿宋_GB2312" w:hAnsi="仿宋_GB2312" w:eastAsia="仿宋_GB2312" w:cs="仿宋_GB2312"/>
          <w:b w:val="0"/>
          <w:bCs w:val="0"/>
          <w:color w:val="auto"/>
          <w:sz w:val="32"/>
          <w:szCs w:val="32"/>
          <w:lang w:val="en-US" w:eastAsia="zh-CN"/>
        </w:rPr>
        <w:t>27.11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该价格为全费用固定总价包干，涵盖货物成本、包装费、运费、装卸费、安装辅材、人工调试费、检测校准费、培训费、税费、破损补发等全部费用，采购人无需另行支付任何款项。</w:t>
      </w:r>
    </w:p>
    <w:p w14:paraId="09B54DF9">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21">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auto"/>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C6D5BF"/>
    <w:multiLevelType w:val="singleLevel"/>
    <w:tmpl w:val="F8C6D5BF"/>
    <w:lvl w:ilvl="0" w:tentative="0">
      <w:start w:val="1"/>
      <w:numFmt w:val="chineseCounting"/>
      <w:suff w:val="nothing"/>
      <w:lvlText w:val="%1、"/>
      <w:lvlJc w:val="left"/>
      <w:pPr>
        <w:ind w:left="0" w:firstLine="420"/>
      </w:pPr>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isplayHorizontalDrawingGridEvery w:val="1"/>
  <w:displayVerticalDrawingGridEvery w:val="1"/>
  <w:noPunctuationKerning w:val="1"/>
  <w:footnotePr>
    <w:footnote w:id="0"/>
    <w:footnote w:id="1"/>
  </w:footnotePr>
  <w:endnotePr>
    <w:endnote w:id="0"/>
    <w:endnote w:id="1"/>
  </w:endnotePr>
  <w:compat>
    <w:balanceSingleByteDoubleByteWidth/>
    <w:ulTrailSpace/>
    <w:doNotExpandShiftReturn/>
    <w:doNotWrapTextWithPunct/>
    <w:doNotUseEastAsianBreakRules/>
    <w:useFELayout/>
    <w:compatSetting w:name="compatibilityMode" w:uri="http://schemas.microsoft.com/office/word" w:val="16"/>
    <w:compatSetting w:name="overrideTableStyleFontSizeAndJustification" w:uri="http://schemas.microsoft.com/office/word" w:val="1"/>
  </w:compat>
  <w:rsids>
    <w:rsidRoot w:val="00000000"/>
    <w:rsid w:val="00621564"/>
    <w:rsid w:val="027E595C"/>
    <w:rsid w:val="04261A0B"/>
    <w:rsid w:val="055128BF"/>
    <w:rsid w:val="0AAF4780"/>
    <w:rsid w:val="0B364677"/>
    <w:rsid w:val="0CDB0D7A"/>
    <w:rsid w:val="121A5B32"/>
    <w:rsid w:val="145818D7"/>
    <w:rsid w:val="145C4EA5"/>
    <w:rsid w:val="14B257A1"/>
    <w:rsid w:val="1A1A60A6"/>
    <w:rsid w:val="1A3969F1"/>
    <w:rsid w:val="1D0B1071"/>
    <w:rsid w:val="1FCE4CEA"/>
    <w:rsid w:val="20CE5733"/>
    <w:rsid w:val="2148051F"/>
    <w:rsid w:val="21582DE9"/>
    <w:rsid w:val="2271144C"/>
    <w:rsid w:val="23B71285"/>
    <w:rsid w:val="241B65BA"/>
    <w:rsid w:val="2421767C"/>
    <w:rsid w:val="249B5304"/>
    <w:rsid w:val="24BB5C77"/>
    <w:rsid w:val="25F632EF"/>
    <w:rsid w:val="26A91CDE"/>
    <w:rsid w:val="28507A92"/>
    <w:rsid w:val="28A054CD"/>
    <w:rsid w:val="2BB708BD"/>
    <w:rsid w:val="2C8D3F94"/>
    <w:rsid w:val="2C8F7963"/>
    <w:rsid w:val="2D026A64"/>
    <w:rsid w:val="2EF45A8B"/>
    <w:rsid w:val="31374878"/>
    <w:rsid w:val="358B4995"/>
    <w:rsid w:val="36F7704A"/>
    <w:rsid w:val="381E75D8"/>
    <w:rsid w:val="38C8777C"/>
    <w:rsid w:val="3A696247"/>
    <w:rsid w:val="3ACC6031"/>
    <w:rsid w:val="3B4D472E"/>
    <w:rsid w:val="3C6B06A6"/>
    <w:rsid w:val="3DB822AF"/>
    <w:rsid w:val="3F49160F"/>
    <w:rsid w:val="3FD634AE"/>
    <w:rsid w:val="4487220D"/>
    <w:rsid w:val="45C7014C"/>
    <w:rsid w:val="476A390C"/>
    <w:rsid w:val="499547ED"/>
    <w:rsid w:val="4B1C363A"/>
    <w:rsid w:val="4E00338A"/>
    <w:rsid w:val="4F5D5052"/>
    <w:rsid w:val="51BC6A4D"/>
    <w:rsid w:val="52B4142D"/>
    <w:rsid w:val="52F24402"/>
    <w:rsid w:val="53491DE1"/>
    <w:rsid w:val="538D2F73"/>
    <w:rsid w:val="53C02935"/>
    <w:rsid w:val="549F50BF"/>
    <w:rsid w:val="58DA1C62"/>
    <w:rsid w:val="5C117B46"/>
    <w:rsid w:val="5C59633D"/>
    <w:rsid w:val="5D78775B"/>
    <w:rsid w:val="5DB760E1"/>
    <w:rsid w:val="5FDE0955"/>
    <w:rsid w:val="60C428B2"/>
    <w:rsid w:val="611A0140"/>
    <w:rsid w:val="62344A89"/>
    <w:rsid w:val="64BE00A4"/>
    <w:rsid w:val="68EA2430"/>
    <w:rsid w:val="6C554F5B"/>
    <w:rsid w:val="6F401CA6"/>
    <w:rsid w:val="7087270D"/>
    <w:rsid w:val="708A15C7"/>
    <w:rsid w:val="71452DCF"/>
    <w:rsid w:val="71C16799"/>
    <w:rsid w:val="74263DA8"/>
    <w:rsid w:val="74BD3658"/>
    <w:rsid w:val="74C4654A"/>
    <w:rsid w:val="77DC66AF"/>
    <w:rsid w:val="79193CC0"/>
    <w:rsid w:val="799F38CA"/>
    <w:rsid w:val="7A03606C"/>
    <w:rsid w:val="7A7457C7"/>
    <w:rsid w:val="7C460F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before="0" w:beforeLines="0" w:after="0" w:afterLines="0" w:line="240" w:lineRule="auto"/>
      <w:jc w:val="both"/>
    </w:pPr>
    <w:rPr>
      <w:rFonts w:ascii="Calibri" w:hAnsi="Calibri" w:eastAsia="等线" w:cs="21"/>
      <w:sz w:val="22"/>
      <w:szCs w:val="22"/>
      <w:lang w:val="en-US" w:eastAsia="en-US" w:bidi="ar-SA"/>
    </w:rPr>
  </w:style>
  <w:style w:type="paragraph" w:styleId="3">
    <w:name w:val="heading 1"/>
    <w:basedOn w:val="1"/>
    <w:next w:val="1"/>
    <w:link w:val="17"/>
    <w:qFormat/>
    <w:uiPriority w:val="9"/>
    <w:pPr>
      <w:keepNext/>
      <w:keepLines/>
      <w:spacing w:before="480"/>
      <w:outlineLvl w:val="0"/>
    </w:pPr>
    <w:rPr>
      <w:rFonts w:asciiTheme="majorHAnsi" w:hAnsiTheme="majorHAnsi" w:eastAsiaTheme="majorEastAsia" w:cstheme="majorBidi"/>
      <w:b/>
      <w:bCs/>
      <w:color w:val="000000"/>
      <w:sz w:val="28"/>
      <w:szCs w:val="28"/>
    </w:rPr>
  </w:style>
  <w:style w:type="paragraph" w:styleId="4">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000000"/>
      <w:sz w:val="26"/>
      <w:szCs w:val="26"/>
    </w:rPr>
  </w:style>
  <w:style w:type="paragraph" w:styleId="2">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000000"/>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color w:val="000000"/>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qFormat/>
    <w:uiPriority w:val="99"/>
    <w:pPr>
      <w:ind w:left="720"/>
    </w:pPr>
  </w:style>
  <w:style w:type="paragraph" w:styleId="7">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8">
    <w:name w:val="header"/>
    <w:basedOn w:val="1"/>
    <w:link w:val="16"/>
    <w:unhideWhenUsed/>
    <w:qFormat/>
    <w:uiPriority w:val="99"/>
    <w:pPr>
      <w:tabs>
        <w:tab w:val="center" w:pos="4680"/>
        <w:tab w:val="right" w:pos="9360"/>
      </w:tabs>
    </w:pPr>
  </w:style>
  <w:style w:type="paragraph" w:styleId="9">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0">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75E" w:themeColor="text2" w:themeShade="BF"/>
      <w:spacing w:val="5"/>
      <w:kern w:val="28"/>
      <w:sz w:val="52"/>
      <w:szCs w:val="52"/>
    </w:rPr>
  </w:style>
  <w:style w:type="table" w:styleId="12">
    <w:name w:val="Table Grid"/>
    <w:basedOn w:val="11"/>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4">
    <w:name w:val="Emphasis"/>
    <w:basedOn w:val="13"/>
    <w:qFormat/>
    <w:uiPriority w:val="20"/>
    <w:rPr>
      <w:i/>
      <w:iCs/>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6">
    <w:name w:val="Header Char"/>
    <w:basedOn w:val="13"/>
    <w:link w:val="8"/>
    <w:qFormat/>
    <w:uiPriority w:val="99"/>
  </w:style>
  <w:style w:type="character" w:customStyle="1" w:styleId="17">
    <w:name w:val="Heading 1 Char"/>
    <w:basedOn w:val="1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8">
    <w:name w:val="Heading 2 Char"/>
    <w:basedOn w:val="13"/>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9">
    <w:name w:val="Heading 3 Char"/>
    <w:basedOn w:val="13"/>
    <w:link w:val="2"/>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0">
    <w:name w:val="Heading 4 Char"/>
    <w:basedOn w:val="13"/>
    <w:link w:val="5"/>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21">
    <w:name w:val="Subtitle Char"/>
    <w:basedOn w:val="13"/>
    <w:link w:val="9"/>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22">
    <w:name w:val="Title Char"/>
    <w:basedOn w:val="13"/>
    <w:link w:val="10"/>
    <w:qFormat/>
    <w:uiPriority w:val="10"/>
    <w:rPr>
      <w:rFonts w:asciiTheme="majorHAnsi" w:hAnsiTheme="majorHAnsi" w:eastAsiaTheme="majorEastAsia" w:cstheme="majorBidi"/>
      <w:color w:val="17375E" w:themeColor="text2" w:themeShade="BF"/>
      <w:spacing w:val="5"/>
      <w:kern w:val="28"/>
      <w:sz w:val="52"/>
      <w:szCs w:val="52"/>
    </w:rPr>
  </w:style>
  <w:style w:type="paragraph" w:customStyle="1" w:styleId="23">
    <w:name w:val=" Char"/>
    <w:basedOn w:val="1"/>
    <w:next w:val="1"/>
    <w:qFormat/>
    <w:uiPriority w:val="0"/>
    <w:pPr>
      <w:autoSpaceDE w:val="0"/>
      <w:autoSpaceDN w:val="0"/>
      <w:adjustRightInd w:val="0"/>
      <w:snapToGrid w:val="0"/>
      <w:spacing w:before="50" w:after="50" w:line="360" w:lineRule="auto"/>
      <w:ind w:firstLine="560" w:firstLineChars="200"/>
    </w:pPr>
    <w:rPr>
      <w:rFonts w:eastAsia="仿宋_GB2312"/>
      <w:color w:val="000000"/>
      <w:sz w:val="24"/>
    </w:rPr>
  </w:style>
  <w:style w:type="paragraph" w:customStyle="1" w:styleId="24">
    <w:name w:val="正文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1509a08d-70e4-4629-8201-be9e5143bb30</errorID>
      <errorWord>，</errorWord>
      <group>L1_Punc</group>
      <groupName>标点问题</groupName>
      <ability>L2_Punc_CN</ability>
      <abilityName>标点符号问题</abilityName>
      <candidateList>
        <item>：</item>
      </candidateList>
      <explain/>
      <paraID>1F9AA41E</paraID>
      <start>19</start>
      <end>20</end>
      <status>unmodified</status>
      <modifiedWord/>
      <trackRevisions>false</trackRevisions>
    </reviewItem>
  </reviewItems>
  <config/>
</contractReview>
</file>

<file path=customXml/itemProps1.xml><?xml version="1.0" encoding="utf-8"?>
<ds:datastoreItem xmlns:ds="http://schemas.openxmlformats.org/officeDocument/2006/customXml" ds:itemID="{aa68a7a0-55c1-4c8d-a271-852354e4a3be}">
  <ds:schemaRefs/>
</ds:datastoreItem>
</file>

<file path=docProps/app.xml><?xml version="1.0" encoding="utf-8"?>
<Properties xmlns="http://schemas.openxmlformats.org/officeDocument/2006/extended-properties" xmlns:vt="http://schemas.openxmlformats.org/officeDocument/2006/docPropsVTypes">
  <Pages>5</Pages>
  <Words>2156</Words>
  <Characters>2227</Characters>
  <TotalTime>18</TotalTime>
  <ScaleCrop>false</ScaleCrop>
  <LinksUpToDate>false</LinksUpToDate>
  <CharactersWithSpaces>2231</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2026-07-30T03:18:00Z</dcterms:created>
  <dc:creator>M</dc:creator>
  <cp:lastModifiedBy>依仪倚亿</cp:lastModifiedBy>
  <dcterms:modified xsi:type="dcterms:W3CDTF">2026-09-01T07:25:29Z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eyJoZGlkIjoiMDk4NGZjMmZiMTdiY2Y5MzI5MzU3MmQyYWFmMWQwMjciLCJ1c2VySWQiOiIxMTA2MzQxODAxIn0=</vt:lpwstr>
  </property>
  <property fmtid="{D5CDD505-2E9C-101B-9397-08002B2CF9AE}" pid="3" name="KSOProductBuildVer">
    <vt:lpwstr>2052-12.1.0.28043</vt:lpwstr>
  </property>
  <property fmtid="{D5CDD505-2E9C-101B-9397-08002B2CF9AE}" pid="4" name="ICV">
    <vt:lpwstr>3B5F4917798E4A968C9CD8933E3E8D92_13</vt:lpwstr>
  </property>
</Properties>
</file>