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E8B5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44"/>
          <w:szCs w:val="44"/>
          <w:lang w:eastAsia="zh-CN"/>
        </w:rPr>
      </w:pPr>
      <w:r>
        <w:rPr>
          <w:rFonts w:hint="eastAsia" w:ascii="仿宋_GB2312" w:hAnsi="仿宋_GB2312" w:eastAsia="仿宋_GB2312" w:cs="仿宋_GB2312"/>
          <w:b w:val="0"/>
          <w:bCs w:val="0"/>
          <w:sz w:val="44"/>
          <w:szCs w:val="44"/>
          <w:lang w:val="en-US" w:eastAsia="zh-CN"/>
        </w:rPr>
        <w:t>一般工业固废资源化利用生产线造价咨询服务</w:t>
      </w:r>
      <w:r>
        <w:rPr>
          <w:rFonts w:hint="eastAsia" w:ascii="仿宋_GB2312" w:hAnsi="仿宋_GB2312" w:eastAsia="仿宋_GB2312" w:cs="仿宋_GB2312"/>
          <w:b w:val="0"/>
          <w:bCs w:val="0"/>
          <w:sz w:val="44"/>
          <w:szCs w:val="44"/>
        </w:rPr>
        <w:t>采购需求文件</w:t>
      </w:r>
    </w:p>
    <w:p w14:paraId="3FA78D42">
      <w:pPr>
        <w:pStyle w:val="2"/>
        <w:pageBreakBefore w:val="0"/>
        <w:kinsoku/>
        <w:wordWrap/>
        <w:overflowPunct/>
        <w:topLinePunct w:val="0"/>
        <w:bidi w:val="0"/>
        <w:spacing w:line="560" w:lineRule="exact"/>
        <w:textAlignment w:val="auto"/>
        <w:rPr>
          <w:rFonts w:hint="eastAsia" w:ascii="仿宋_GB2312" w:hAnsi="仿宋_GB2312" w:eastAsia="仿宋_GB2312" w:cs="仿宋_GB2312"/>
        </w:rPr>
      </w:pPr>
    </w:p>
    <w:p w14:paraId="59551CA9">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项目概况</w:t>
      </w:r>
    </w:p>
    <w:p w14:paraId="726BABA8">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采购项目名称：一般工业固废资源化利用生产线</w:t>
      </w:r>
      <w:r>
        <w:rPr>
          <w:rFonts w:hint="default" w:ascii="仿宋_GB2312" w:hAnsi="仿宋_GB2312" w:eastAsia="仿宋_GB2312" w:cs="仿宋_GB2312"/>
          <w:sz w:val="32"/>
          <w:szCs w:val="32"/>
          <w:lang w:val="en-US" w:eastAsia="zh-CN"/>
        </w:rPr>
        <w:t>造价咨询</w:t>
      </w:r>
      <w:r>
        <w:rPr>
          <w:rFonts w:hint="eastAsia" w:ascii="仿宋_GB2312" w:hAnsi="仿宋_GB2312" w:eastAsia="仿宋_GB2312" w:cs="仿宋_GB2312"/>
          <w:sz w:val="32"/>
          <w:szCs w:val="32"/>
          <w:lang w:val="en-US" w:eastAsia="zh-CN"/>
        </w:rPr>
        <w:t>服务</w:t>
      </w:r>
    </w:p>
    <w:p w14:paraId="49D56786">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采购预算：人民币0.97万元（含税）</w:t>
      </w:r>
    </w:p>
    <w:p w14:paraId="2857D638">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采购背景</w:t>
      </w:r>
    </w:p>
    <w:p w14:paraId="1A4E2C2D">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佛山市三水区城市固废综合资源化利用项目为国睿公司新投资建设项目，已获投资批复。</w:t>
      </w:r>
    </w:p>
    <w:p w14:paraId="0DFCEA44">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该项目主要处理一般工业垃圾、大件垃圾及绿化垃圾三类废弃物，处理规模20.5万吨/年。该项目设计有</w:t>
      </w:r>
      <w:r>
        <w:rPr>
          <w:rFonts w:hint="eastAsia" w:ascii="仿宋_GB2312" w:hAnsi="仿宋_GB2312" w:eastAsia="仿宋_GB2312" w:cs="仿宋_GB2312"/>
          <w:sz w:val="32"/>
          <w:szCs w:val="32"/>
          <w:lang w:val="en-US" w:eastAsia="zh-CN"/>
        </w:rPr>
        <w:t>一般工业固废资源化利用生产线</w:t>
      </w:r>
      <w:r>
        <w:rPr>
          <w:rFonts w:hint="eastAsia" w:ascii="仿宋_GB2312" w:hAnsi="仿宋_GB2312" w:eastAsia="仿宋_GB2312" w:cs="仿宋_GB2312"/>
          <w:b w:val="0"/>
          <w:bCs w:val="0"/>
          <w:sz w:val="32"/>
          <w:szCs w:val="32"/>
          <w:lang w:val="en-US" w:eastAsia="zh-CN"/>
        </w:rPr>
        <w:t>1条，与绿化垃圾、大件垃圾共用生产线，配置弹跳风选复合筛、双轴撕碎机、打砂机等核心设备。根据可研报告，该生产线投资金额预估为575万元。</w:t>
      </w:r>
    </w:p>
    <w:p w14:paraId="4B23B958">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采购范围与服务内容</w:t>
      </w:r>
    </w:p>
    <w:p w14:paraId="772CDB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本次采购第三方造价咨询服务单位，必须严格遵循相关执业规范，结合设备技术参数、行业标准、市场行情，完成全流程造价咨询工作，具体包括但不限于以下内容：</w:t>
      </w:r>
    </w:p>
    <w:p w14:paraId="1503E4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（一）资料收集与核查：收集生产线设计图纸、设备清单、技术规格书、可研报告等基础资料，核实设备参数及配置完整性。</w:t>
      </w:r>
    </w:p>
    <w:p w14:paraId="73469D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（二）市场调研与行情分析：针对各类设备开展充分的市场询价，收集不少于三家主流供应商的报价，分析价格走势及影响因素。</w:t>
      </w:r>
    </w:p>
    <w:p w14:paraId="13BDC26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736" w:firstLineChars="23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（三）价格核算：依据调研数据，采用科学合理的方法（如成本构成法、类比法、指数调整法等）进行单台设备及整条生产线造价测算，形成详细的价格测算底稿。</w:t>
      </w:r>
    </w:p>
    <w:p w14:paraId="21A823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736" w:firstLineChars="23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（四）报告编制与校核完善：编制《一般工业固废资源化利用生产线价格评估报告》，内容应包括编制说明、测算依据、设备明细及单价、总价汇总、市场分析结论、价格建议等，经内部校核后形成送审稿。</w:t>
      </w:r>
    </w:p>
    <w:p w14:paraId="16AC0D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736" w:firstLineChars="23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（五）配合审查与答疑整改：配合采购人及上级审核部门开展报告审查，对质询问题及时作出书面答疑，并根据意见在2个自然日内完成修订。</w:t>
      </w:r>
    </w:p>
    <w:p w14:paraId="2DC3FE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736" w:firstLineChars="23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（六）全流程配套服务：配合采购人开展设备采购限价核定、招标答疑、价格核查、后期审计对接等工作，直至本项目设备采购工作闭环完成。</w:t>
      </w:r>
    </w:p>
    <w:p w14:paraId="4340B3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20" w:leftChars="0"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（七）最终交付成果（详见第五条成果要求）。</w:t>
      </w:r>
    </w:p>
    <w:p w14:paraId="6304F911">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服务时限与知识产权</w:t>
      </w:r>
    </w:p>
    <w:p w14:paraId="278837CC">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服务时限</w:t>
      </w:r>
    </w:p>
    <w:p w14:paraId="7B32C78F">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总服务周期：自合同生效之日起 15 个工作日内，中标人完成全部调研、测算、报告编制及校核修改工作，提交终稿及全套归档资料。</w:t>
      </w:r>
    </w:p>
    <w:p w14:paraId="5C13968A">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整改时限：收到采购人或审核部门修改意见后，须在2个自然日内完成成果修订和资料补充。</w:t>
      </w:r>
    </w:p>
    <w:p w14:paraId="787D472F">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知识产权</w:t>
      </w:r>
    </w:p>
    <w:p w14:paraId="5E22A068">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本项目所有造价成果、测算底稿、调研资料、报告文本等智力成果的完整知识产权归采购人独家所有。未经采购人书面同意，供应商不得擅自使用、传播、授权第三方使用或用于其他项目。</w:t>
      </w:r>
    </w:p>
    <w:p w14:paraId="64157E09">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成果交付要求</w:t>
      </w:r>
    </w:p>
    <w:p w14:paraId="52AFFBA9">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成交供应商须交付以下成果资料，所有纸质文件须加盖单位公章：</w:t>
      </w:r>
    </w:p>
    <w:tbl>
      <w:tblPr>
        <w:tblStyle w:val="12"/>
        <w:tblW w:w="83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832"/>
        <w:gridCol w:w="4307"/>
        <w:gridCol w:w="3170"/>
      </w:tblGrid>
      <w:tr w14:paraId="71A98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0" w:type="auto"/>
            <w:shd w:val="clear" w:color="auto" w:fill="auto"/>
            <w:noWrap w:val="0"/>
            <w:tcMar>
              <w:top w:w="150" w:type="dxa"/>
              <w:left w:w="-1" w:type="dxa"/>
              <w:bottom w:w="150" w:type="dxa"/>
              <w:right w:w="240" w:type="dxa"/>
            </w:tcMar>
            <w:vAlign w:val="center"/>
          </w:tcPr>
          <w:p w14:paraId="54AB656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ascii="新宋体" w:hAnsi="新宋体" w:eastAsia="新宋体" w:cs="新宋体"/>
                <w:b/>
                <w:bCs/>
                <w:sz w:val="28"/>
                <w:szCs w:val="28"/>
              </w:rPr>
            </w:pPr>
            <w:r>
              <w:rPr>
                <w:rFonts w:hint="eastAsia" w:ascii="新宋体" w:hAnsi="新宋体" w:eastAsia="新宋体" w:cs="新宋体"/>
                <w:b/>
                <w:bCs/>
                <w:kern w:val="0"/>
                <w:sz w:val="28"/>
                <w:szCs w:val="28"/>
                <w:lang w:val="en-US" w:eastAsia="zh-CN" w:bidi="ar"/>
              </w:rPr>
              <w:t>序号</w:t>
            </w:r>
          </w:p>
        </w:tc>
        <w:tc>
          <w:tcPr>
            <w:tcW w:w="0" w:type="auto"/>
            <w:shd w:val="clear" w:color="auto" w:fill="auto"/>
            <w:noWrap w:val="0"/>
            <w:tcMar>
              <w:top w:w="150" w:type="dxa"/>
              <w:left w:w="240" w:type="dxa"/>
              <w:bottom w:w="150" w:type="dxa"/>
              <w:right w:w="240" w:type="dxa"/>
            </w:tcMar>
            <w:vAlign w:val="center"/>
          </w:tcPr>
          <w:p w14:paraId="759D96D3">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ascii="新宋体" w:hAnsi="新宋体" w:eastAsia="新宋体" w:cs="新宋体"/>
                <w:b/>
                <w:bCs/>
                <w:sz w:val="28"/>
                <w:szCs w:val="28"/>
              </w:rPr>
            </w:pPr>
            <w:r>
              <w:rPr>
                <w:rFonts w:hint="eastAsia" w:ascii="新宋体" w:hAnsi="新宋体" w:eastAsia="新宋体" w:cs="新宋体"/>
                <w:b/>
                <w:bCs/>
                <w:kern w:val="0"/>
                <w:sz w:val="28"/>
                <w:szCs w:val="28"/>
                <w:lang w:val="en-US" w:eastAsia="zh-CN" w:bidi="ar"/>
              </w:rPr>
              <w:t>成果名称</w:t>
            </w:r>
          </w:p>
        </w:tc>
        <w:tc>
          <w:tcPr>
            <w:tcW w:w="3170" w:type="dxa"/>
            <w:shd w:val="clear" w:color="auto" w:fill="auto"/>
            <w:noWrap w:val="0"/>
            <w:tcMar>
              <w:top w:w="150" w:type="dxa"/>
              <w:left w:w="240" w:type="dxa"/>
              <w:bottom w:w="150" w:type="dxa"/>
              <w:right w:w="240" w:type="dxa"/>
            </w:tcMar>
            <w:vAlign w:val="center"/>
          </w:tcPr>
          <w:p w14:paraId="18B8FA6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ascii="新宋体" w:hAnsi="新宋体" w:eastAsia="新宋体" w:cs="新宋体"/>
                <w:b/>
                <w:bCs/>
                <w:sz w:val="28"/>
                <w:szCs w:val="28"/>
              </w:rPr>
            </w:pPr>
            <w:r>
              <w:rPr>
                <w:rFonts w:hint="eastAsia" w:ascii="新宋体" w:hAnsi="新宋体" w:eastAsia="新宋体" w:cs="新宋体"/>
                <w:b/>
                <w:bCs/>
                <w:kern w:val="0"/>
                <w:sz w:val="28"/>
                <w:szCs w:val="28"/>
                <w:lang w:val="en-US" w:eastAsia="zh-CN" w:bidi="ar"/>
              </w:rPr>
              <w:t>形式及数量</w:t>
            </w:r>
          </w:p>
        </w:tc>
      </w:tr>
      <w:tr w14:paraId="76357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0" w:type="auto"/>
            <w:shd w:val="clear" w:color="auto" w:fill="auto"/>
            <w:noWrap w:val="0"/>
            <w:tcMar>
              <w:top w:w="150" w:type="dxa"/>
              <w:left w:w="-1" w:type="dxa"/>
              <w:bottom w:w="150" w:type="dxa"/>
              <w:right w:w="240" w:type="dxa"/>
            </w:tcMar>
            <w:vAlign w:val="center"/>
          </w:tcPr>
          <w:p w14:paraId="3F74D02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ascii="新宋体" w:hAnsi="新宋体" w:eastAsia="新宋体" w:cs="新宋体"/>
                <w:sz w:val="28"/>
                <w:szCs w:val="28"/>
              </w:rPr>
            </w:pPr>
            <w:r>
              <w:rPr>
                <w:rFonts w:hint="eastAsia" w:ascii="新宋体" w:hAnsi="新宋体" w:eastAsia="新宋体" w:cs="新宋体"/>
                <w:kern w:val="0"/>
                <w:sz w:val="28"/>
                <w:szCs w:val="28"/>
                <w:lang w:val="en-US" w:eastAsia="zh-CN" w:bidi="ar"/>
              </w:rPr>
              <w:t>1</w:t>
            </w:r>
          </w:p>
        </w:tc>
        <w:tc>
          <w:tcPr>
            <w:tcW w:w="0" w:type="auto"/>
            <w:shd w:val="clear" w:color="auto" w:fill="auto"/>
            <w:noWrap w:val="0"/>
            <w:tcMar>
              <w:top w:w="150" w:type="dxa"/>
              <w:left w:w="240" w:type="dxa"/>
              <w:bottom w:w="150" w:type="dxa"/>
              <w:right w:w="240" w:type="dxa"/>
            </w:tcMar>
            <w:vAlign w:val="center"/>
          </w:tcPr>
          <w:p w14:paraId="1B750946">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auto"/>
              <w:rPr>
                <w:rFonts w:hint="eastAsia" w:ascii="新宋体" w:hAnsi="新宋体" w:eastAsia="新宋体" w:cs="新宋体"/>
                <w:sz w:val="28"/>
                <w:szCs w:val="28"/>
              </w:rPr>
            </w:pPr>
            <w:r>
              <w:rPr>
                <w:rFonts w:hint="eastAsia" w:ascii="新宋体" w:hAnsi="新宋体" w:eastAsia="新宋体" w:cs="新宋体"/>
                <w:kern w:val="0"/>
                <w:sz w:val="28"/>
                <w:szCs w:val="28"/>
                <w:lang w:val="en-US" w:eastAsia="zh-CN" w:bidi="ar"/>
              </w:rPr>
              <w:t>《一般工业固废资源化利用生产线价格评估报告》（正式终稿）</w:t>
            </w:r>
          </w:p>
        </w:tc>
        <w:tc>
          <w:tcPr>
            <w:tcW w:w="3170" w:type="dxa"/>
            <w:shd w:val="clear" w:color="auto" w:fill="auto"/>
            <w:noWrap w:val="0"/>
            <w:tcMar>
              <w:top w:w="150" w:type="dxa"/>
              <w:left w:w="240" w:type="dxa"/>
              <w:bottom w:w="150" w:type="dxa"/>
              <w:right w:w="-1" w:type="dxa"/>
            </w:tcMar>
            <w:vAlign w:val="center"/>
          </w:tcPr>
          <w:p w14:paraId="249D60A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auto"/>
              <w:rPr>
                <w:rFonts w:hint="eastAsia" w:ascii="新宋体" w:hAnsi="新宋体" w:eastAsia="新宋体" w:cs="新宋体"/>
                <w:sz w:val="28"/>
                <w:szCs w:val="28"/>
              </w:rPr>
            </w:pPr>
            <w:r>
              <w:rPr>
                <w:rFonts w:hint="eastAsia" w:ascii="新宋体" w:hAnsi="新宋体" w:eastAsia="新宋体" w:cs="新宋体"/>
                <w:kern w:val="0"/>
                <w:sz w:val="28"/>
                <w:szCs w:val="28"/>
                <w:lang w:val="en-US" w:eastAsia="zh-CN" w:bidi="ar"/>
              </w:rPr>
              <w:t>纸质文件</w:t>
            </w:r>
            <w:r>
              <w:rPr>
                <w:rFonts w:hint="eastAsia" w:ascii="新宋体" w:hAnsi="新宋体" w:eastAsia="新宋体" w:cs="新宋体"/>
                <w:b/>
                <w:bCs/>
                <w:kern w:val="0"/>
                <w:sz w:val="28"/>
                <w:szCs w:val="28"/>
                <w:lang w:val="en-US" w:eastAsia="zh-CN" w:bidi="ar"/>
              </w:rPr>
              <w:t>肆份</w:t>
            </w:r>
            <w:r>
              <w:rPr>
                <w:rFonts w:hint="eastAsia" w:ascii="新宋体" w:hAnsi="新宋体" w:eastAsia="新宋体" w:cs="新宋体"/>
                <w:kern w:val="0"/>
                <w:sz w:val="28"/>
                <w:szCs w:val="28"/>
                <w:lang w:val="en-US" w:eastAsia="zh-CN" w:bidi="ar"/>
              </w:rPr>
              <w:t>，电子版（PDF盖章版+可编辑Word源文件）</w:t>
            </w:r>
          </w:p>
        </w:tc>
      </w:tr>
      <w:tr w14:paraId="604E1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0" w:type="auto"/>
            <w:shd w:val="clear" w:color="auto" w:fill="auto"/>
            <w:noWrap w:val="0"/>
            <w:tcMar>
              <w:top w:w="150" w:type="dxa"/>
              <w:left w:w="-1" w:type="dxa"/>
              <w:bottom w:w="150" w:type="dxa"/>
              <w:right w:w="240" w:type="dxa"/>
            </w:tcMar>
            <w:vAlign w:val="center"/>
          </w:tcPr>
          <w:p w14:paraId="7212C2C6">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ascii="新宋体" w:hAnsi="新宋体" w:eastAsia="新宋体" w:cs="新宋体"/>
                <w:sz w:val="28"/>
                <w:szCs w:val="28"/>
              </w:rPr>
            </w:pPr>
            <w:r>
              <w:rPr>
                <w:rFonts w:hint="eastAsia" w:ascii="新宋体" w:hAnsi="新宋体" w:eastAsia="新宋体" w:cs="新宋体"/>
                <w:kern w:val="0"/>
                <w:sz w:val="28"/>
                <w:szCs w:val="28"/>
                <w:lang w:val="en-US" w:eastAsia="zh-CN" w:bidi="ar"/>
              </w:rPr>
              <w:t>2</w:t>
            </w:r>
          </w:p>
        </w:tc>
        <w:tc>
          <w:tcPr>
            <w:tcW w:w="0" w:type="auto"/>
            <w:shd w:val="clear" w:color="auto" w:fill="auto"/>
            <w:noWrap w:val="0"/>
            <w:tcMar>
              <w:top w:w="150" w:type="dxa"/>
              <w:left w:w="240" w:type="dxa"/>
              <w:bottom w:w="150" w:type="dxa"/>
              <w:right w:w="240" w:type="dxa"/>
            </w:tcMar>
            <w:vAlign w:val="center"/>
          </w:tcPr>
          <w:p w14:paraId="7CECE7A2">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auto"/>
              <w:rPr>
                <w:rFonts w:hint="eastAsia" w:ascii="新宋体" w:hAnsi="新宋体" w:eastAsia="新宋体" w:cs="新宋体"/>
                <w:sz w:val="28"/>
                <w:szCs w:val="28"/>
              </w:rPr>
            </w:pPr>
            <w:r>
              <w:rPr>
                <w:rFonts w:hint="eastAsia" w:ascii="新宋体" w:hAnsi="新宋体" w:eastAsia="新宋体" w:cs="新宋体"/>
                <w:kern w:val="0"/>
                <w:sz w:val="28"/>
                <w:szCs w:val="28"/>
                <w:lang w:val="en-US" w:eastAsia="zh-CN" w:bidi="ar"/>
              </w:rPr>
              <w:t>设备明细清单、市场调研台账、价格测算底稿、参数核对表等配套支撑资料</w:t>
            </w:r>
          </w:p>
        </w:tc>
        <w:tc>
          <w:tcPr>
            <w:tcW w:w="3170" w:type="dxa"/>
            <w:shd w:val="clear" w:color="auto" w:fill="auto"/>
            <w:noWrap w:val="0"/>
            <w:tcMar>
              <w:top w:w="150" w:type="dxa"/>
              <w:left w:w="240" w:type="dxa"/>
              <w:bottom w:w="150" w:type="dxa"/>
              <w:right w:w="-1" w:type="dxa"/>
            </w:tcMar>
            <w:vAlign w:val="center"/>
          </w:tcPr>
          <w:p w14:paraId="620EC93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auto"/>
              <w:rPr>
                <w:rFonts w:hint="eastAsia" w:ascii="新宋体" w:hAnsi="新宋体" w:eastAsia="新宋体" w:cs="新宋体"/>
                <w:sz w:val="28"/>
                <w:szCs w:val="28"/>
              </w:rPr>
            </w:pPr>
            <w:r>
              <w:rPr>
                <w:rFonts w:hint="eastAsia" w:ascii="新宋体" w:hAnsi="新宋体" w:eastAsia="新宋体" w:cs="新宋体"/>
                <w:kern w:val="0"/>
                <w:sz w:val="28"/>
                <w:szCs w:val="28"/>
                <w:lang w:val="en-US" w:eastAsia="zh-CN" w:bidi="ar"/>
              </w:rPr>
              <w:t>电子版全套，可编辑格式</w:t>
            </w:r>
          </w:p>
        </w:tc>
      </w:tr>
      <w:tr w14:paraId="75AC5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0" w:type="auto"/>
            <w:shd w:val="clear" w:color="auto" w:fill="auto"/>
            <w:noWrap w:val="0"/>
            <w:tcMar>
              <w:top w:w="150" w:type="dxa"/>
              <w:left w:w="-1" w:type="dxa"/>
              <w:bottom w:w="150" w:type="dxa"/>
              <w:right w:w="240" w:type="dxa"/>
            </w:tcMar>
            <w:vAlign w:val="center"/>
          </w:tcPr>
          <w:p w14:paraId="7F6FC62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ascii="新宋体" w:hAnsi="新宋体" w:eastAsia="新宋体" w:cs="新宋体"/>
                <w:sz w:val="28"/>
                <w:szCs w:val="28"/>
              </w:rPr>
            </w:pPr>
            <w:r>
              <w:rPr>
                <w:rFonts w:hint="eastAsia" w:ascii="新宋体" w:hAnsi="新宋体" w:eastAsia="新宋体" w:cs="新宋体"/>
                <w:kern w:val="0"/>
                <w:sz w:val="28"/>
                <w:szCs w:val="28"/>
                <w:lang w:val="en-US" w:eastAsia="zh-CN" w:bidi="ar"/>
              </w:rPr>
              <w:t>3</w:t>
            </w:r>
          </w:p>
        </w:tc>
        <w:tc>
          <w:tcPr>
            <w:tcW w:w="0" w:type="auto"/>
            <w:shd w:val="clear" w:color="auto" w:fill="auto"/>
            <w:noWrap w:val="0"/>
            <w:tcMar>
              <w:top w:w="150" w:type="dxa"/>
              <w:left w:w="240" w:type="dxa"/>
              <w:bottom w:w="150" w:type="dxa"/>
              <w:right w:w="240" w:type="dxa"/>
            </w:tcMar>
            <w:vAlign w:val="center"/>
          </w:tcPr>
          <w:p w14:paraId="29E6F0B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auto"/>
              <w:rPr>
                <w:rFonts w:hint="eastAsia" w:ascii="新宋体" w:hAnsi="新宋体" w:eastAsia="新宋体" w:cs="新宋体"/>
                <w:sz w:val="28"/>
                <w:szCs w:val="28"/>
              </w:rPr>
            </w:pPr>
            <w:r>
              <w:rPr>
                <w:rFonts w:hint="eastAsia" w:ascii="新宋体" w:hAnsi="新宋体" w:eastAsia="新宋体" w:cs="新宋体"/>
                <w:kern w:val="0"/>
                <w:sz w:val="28"/>
                <w:szCs w:val="28"/>
                <w:lang w:val="en-US" w:eastAsia="zh-CN" w:bidi="ar"/>
              </w:rPr>
              <w:t>报告编制说明、价格测算依据、行业标准文件、市场调研佐证资料（如截图、报价单等）</w:t>
            </w:r>
          </w:p>
        </w:tc>
        <w:tc>
          <w:tcPr>
            <w:tcW w:w="3170" w:type="dxa"/>
            <w:shd w:val="clear" w:color="auto" w:fill="auto"/>
            <w:noWrap w:val="0"/>
            <w:tcMar>
              <w:top w:w="150" w:type="dxa"/>
              <w:left w:w="240" w:type="dxa"/>
              <w:bottom w:w="150" w:type="dxa"/>
              <w:right w:w="-1" w:type="dxa"/>
            </w:tcMar>
            <w:vAlign w:val="center"/>
          </w:tcPr>
          <w:p w14:paraId="13B4AD4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auto"/>
              <w:rPr>
                <w:rFonts w:hint="eastAsia" w:ascii="新宋体" w:hAnsi="新宋体" w:eastAsia="新宋体" w:cs="新宋体"/>
                <w:sz w:val="28"/>
                <w:szCs w:val="28"/>
              </w:rPr>
            </w:pPr>
            <w:r>
              <w:rPr>
                <w:rFonts w:hint="eastAsia" w:ascii="新宋体" w:hAnsi="新宋体" w:eastAsia="新宋体" w:cs="新宋体"/>
                <w:kern w:val="0"/>
                <w:sz w:val="28"/>
                <w:szCs w:val="28"/>
                <w:lang w:val="en-US" w:eastAsia="zh-CN" w:bidi="ar"/>
              </w:rPr>
              <w:t>电子版归档资料包</w:t>
            </w:r>
          </w:p>
        </w:tc>
      </w:tr>
      <w:tr w14:paraId="7DD1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832" w:type="dxa"/>
            <w:shd w:val="clear" w:color="auto" w:fill="auto"/>
            <w:noWrap w:val="0"/>
            <w:tcMar>
              <w:top w:w="150" w:type="dxa"/>
              <w:left w:w="-1" w:type="dxa"/>
              <w:bottom w:w="150" w:type="dxa"/>
              <w:right w:w="240" w:type="dxa"/>
            </w:tcMar>
            <w:vAlign w:val="center"/>
          </w:tcPr>
          <w:p w14:paraId="117B6AC6">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ascii="新宋体" w:hAnsi="新宋体" w:eastAsia="新宋体" w:cs="新宋体"/>
                <w:sz w:val="28"/>
                <w:szCs w:val="28"/>
              </w:rPr>
            </w:pPr>
            <w:r>
              <w:rPr>
                <w:rFonts w:hint="eastAsia" w:ascii="新宋体" w:hAnsi="新宋体" w:eastAsia="新宋体" w:cs="新宋体"/>
                <w:kern w:val="0"/>
                <w:sz w:val="28"/>
                <w:szCs w:val="28"/>
                <w:lang w:val="en-US" w:eastAsia="zh-CN" w:bidi="ar"/>
              </w:rPr>
              <w:t>4</w:t>
            </w:r>
          </w:p>
        </w:tc>
        <w:tc>
          <w:tcPr>
            <w:tcW w:w="4307" w:type="dxa"/>
            <w:shd w:val="clear" w:color="auto" w:fill="auto"/>
            <w:noWrap w:val="0"/>
            <w:tcMar>
              <w:top w:w="150" w:type="dxa"/>
              <w:left w:w="240" w:type="dxa"/>
              <w:bottom w:w="150" w:type="dxa"/>
              <w:right w:w="240" w:type="dxa"/>
            </w:tcMar>
            <w:vAlign w:val="center"/>
          </w:tcPr>
          <w:p w14:paraId="7AA955C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auto"/>
              <w:rPr>
                <w:rFonts w:hint="eastAsia" w:ascii="新宋体" w:hAnsi="新宋体" w:eastAsia="新宋体" w:cs="新宋体"/>
                <w:sz w:val="28"/>
                <w:szCs w:val="28"/>
              </w:rPr>
            </w:pPr>
            <w:r>
              <w:rPr>
                <w:rFonts w:hint="eastAsia" w:ascii="新宋体" w:hAnsi="新宋体" w:eastAsia="新宋体" w:cs="新宋体"/>
                <w:kern w:val="0"/>
                <w:sz w:val="28"/>
                <w:szCs w:val="28"/>
                <w:lang w:val="en-US" w:eastAsia="zh-CN" w:bidi="ar"/>
              </w:rPr>
              <w:t>配合各项审查、核查所需的补充资料及答疑说明文件</w:t>
            </w:r>
          </w:p>
        </w:tc>
        <w:tc>
          <w:tcPr>
            <w:tcW w:w="3170" w:type="dxa"/>
            <w:shd w:val="clear" w:color="auto" w:fill="auto"/>
            <w:noWrap w:val="0"/>
            <w:tcMar>
              <w:top w:w="150" w:type="dxa"/>
              <w:left w:w="240" w:type="dxa"/>
              <w:bottom w:w="150" w:type="dxa"/>
              <w:right w:w="-1" w:type="dxa"/>
            </w:tcMar>
            <w:vAlign w:val="center"/>
          </w:tcPr>
          <w:p w14:paraId="1B9D5FF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auto"/>
              <w:rPr>
                <w:rFonts w:hint="eastAsia" w:ascii="新宋体" w:hAnsi="新宋体" w:eastAsia="新宋体" w:cs="新宋体"/>
                <w:sz w:val="28"/>
                <w:szCs w:val="28"/>
              </w:rPr>
            </w:pPr>
            <w:r>
              <w:rPr>
                <w:rFonts w:hint="eastAsia" w:ascii="新宋体" w:hAnsi="新宋体" w:eastAsia="新宋体" w:cs="新宋体"/>
                <w:kern w:val="0"/>
                <w:sz w:val="28"/>
                <w:szCs w:val="28"/>
                <w:lang w:val="en-US" w:eastAsia="zh-CN" w:bidi="ar"/>
              </w:rPr>
              <w:t>按需提供，纸质+电子</w:t>
            </w:r>
          </w:p>
        </w:tc>
      </w:tr>
    </w:tbl>
    <w:p w14:paraId="6387AD7D">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最高限价</w:t>
      </w:r>
    </w:p>
    <w:p w14:paraId="677859C8">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本项目最高限价为人民币</w:t>
      </w:r>
      <w:r>
        <w:rPr>
          <w:rFonts w:hint="eastAsia" w:ascii="仿宋_GB2312" w:hAnsi="仿宋_GB2312" w:eastAsia="仿宋_GB2312" w:cs="仿宋_GB2312"/>
          <w:b w:val="0"/>
          <w:bCs w:val="0"/>
          <w:sz w:val="32"/>
          <w:szCs w:val="32"/>
          <w:highlight w:val="none"/>
          <w:lang w:val="en-US" w:eastAsia="zh-CN"/>
        </w:rPr>
        <w:t>0.97万元（含税）</w:t>
      </w:r>
      <w:r>
        <w:rPr>
          <w:rFonts w:hint="eastAsia" w:ascii="仿宋_GB2312" w:hAnsi="仿宋_GB2312" w:eastAsia="仿宋_GB2312" w:cs="仿宋_GB2312"/>
          <w:b w:val="0"/>
          <w:bCs w:val="0"/>
          <w:sz w:val="32"/>
          <w:szCs w:val="32"/>
          <w:lang w:val="en-US" w:eastAsia="zh-CN"/>
        </w:rPr>
        <w:t>，该价格为全费用固定总价包干，包含但不限于：人员服务费、市场调研费、资料收集费、报告编制校核费、打印装订费、税费、售后答疑、资料归档、配合审查核查等全部成本。采购人无需另行支付其他任何费用。</w:t>
      </w:r>
    </w:p>
    <w:p w14:paraId="48B03FD7">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付款方式</w:t>
      </w:r>
    </w:p>
    <w:p w14:paraId="131D0DA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成交供应商按合同约定完成报告终稿，将全部成果资料交付采购人并通过采购人最终确认后，采购人一次性支付合同总价100%。</w:t>
      </w:r>
    </w:p>
    <w:p w14:paraId="4950D4C0">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供应商收款前须向采购人提供付款金额对应的合法有效增值税专用发票。</w:t>
      </w:r>
    </w:p>
    <w:p w14:paraId="6A60A0DF">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供应商资格要求</w:t>
      </w:r>
    </w:p>
    <w:p w14:paraId="5049D7D2">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参与本项目的意向服务单位须同时满足以下全部条件，采购人有权核验所有资质证明文件原件：</w:t>
      </w:r>
    </w:p>
    <w:p w14:paraId="42A3F7B9">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主体资格：具有独立法人资格，持有合法有效的营业执照，经营范围须覆盖工程造价咨询或同类服务类别。</w:t>
      </w:r>
    </w:p>
    <w:p w14:paraId="36E87A6B">
      <w:pPr>
        <w:keepNext w:val="0"/>
        <w:keepLines w:val="0"/>
        <w:pageBreakBefore w:val="0"/>
        <w:widowControl w:val="0"/>
        <w:numPr>
          <w:ilvl w:val="0"/>
          <w:numId w:val="6"/>
        </w:numPr>
        <w:kinsoku/>
        <w:wordWrap w:val="0"/>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信用记录：近3年经营活动中无重大违法失信记录，未被列入“信用中国”网站（www.creditchina.gov.cn）“记录失信被执行人、重大税收违法失信主体、政府采购严重违法失信行为”名单，未处于中国政府采购网（www.ccgp.gov.cn）“政府采购严重违法失信行为信息记录”中的禁止参加政府采购活动期间。供应商须提供《承诺函》（格式自拟）及上述网站查询截图。</w:t>
      </w:r>
      <w:bookmarkStart w:id="0" w:name="_GoBack"/>
      <w:bookmarkEnd w:id="0"/>
    </w:p>
    <w:p w14:paraId="35C4F9A6">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42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业绩要求：近3年内至少具有1个同类型（设备类或生产线类）造价咨询服务的成功交付案例，须提供合同复印件（关键页）或发票复印件以供核验。</w:t>
      </w:r>
    </w:p>
    <w:p w14:paraId="7FECCED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21">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auto"/>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0A5585"/>
    <w:multiLevelType w:val="singleLevel"/>
    <w:tmpl w:val="800A5585"/>
    <w:lvl w:ilvl="0" w:tentative="0">
      <w:start w:val="1"/>
      <w:numFmt w:val="chineseCounting"/>
      <w:suff w:val="nothing"/>
      <w:lvlText w:val="（%1）"/>
      <w:lvlJc w:val="left"/>
      <w:pPr>
        <w:ind w:left="0" w:firstLine="420"/>
      </w:pPr>
      <w:rPr>
        <w:rFonts w:hint="eastAsia"/>
      </w:rPr>
    </w:lvl>
  </w:abstractNum>
  <w:abstractNum w:abstractNumId="1">
    <w:nsid w:val="8FA84BC7"/>
    <w:multiLevelType w:val="singleLevel"/>
    <w:tmpl w:val="8FA84BC7"/>
    <w:lvl w:ilvl="0" w:tentative="0">
      <w:start w:val="1"/>
      <w:numFmt w:val="decimal"/>
      <w:suff w:val="nothing"/>
      <w:lvlText w:val="%1．"/>
      <w:lvlJc w:val="left"/>
      <w:pPr>
        <w:ind w:left="0" w:firstLine="400"/>
      </w:pPr>
      <w:rPr>
        <w:rFonts w:hint="default"/>
      </w:rPr>
    </w:lvl>
  </w:abstractNum>
  <w:abstractNum w:abstractNumId="2">
    <w:nsid w:val="9A439844"/>
    <w:multiLevelType w:val="singleLevel"/>
    <w:tmpl w:val="9A439844"/>
    <w:lvl w:ilvl="0" w:tentative="0">
      <w:start w:val="1"/>
      <w:numFmt w:val="chineseCounting"/>
      <w:suff w:val="nothing"/>
      <w:lvlText w:val="（%1）"/>
      <w:lvlJc w:val="left"/>
      <w:pPr>
        <w:ind w:left="0" w:firstLine="420"/>
      </w:pPr>
      <w:rPr>
        <w:rFonts w:hint="eastAsia"/>
      </w:rPr>
    </w:lvl>
  </w:abstractNum>
  <w:abstractNum w:abstractNumId="3">
    <w:nsid w:val="C2B036D4"/>
    <w:multiLevelType w:val="singleLevel"/>
    <w:tmpl w:val="C2B036D4"/>
    <w:lvl w:ilvl="0" w:tentative="0">
      <w:start w:val="1"/>
      <w:numFmt w:val="chineseCounting"/>
      <w:suff w:val="nothing"/>
      <w:lvlText w:val="（%1）"/>
      <w:lvlJc w:val="left"/>
      <w:pPr>
        <w:ind w:left="0" w:firstLine="420"/>
      </w:pPr>
      <w:rPr>
        <w:rFonts w:hint="eastAsia"/>
      </w:rPr>
    </w:lvl>
  </w:abstractNum>
  <w:abstractNum w:abstractNumId="4">
    <w:nsid w:val="E1A5F052"/>
    <w:multiLevelType w:val="singleLevel"/>
    <w:tmpl w:val="E1A5F052"/>
    <w:lvl w:ilvl="0" w:tentative="0">
      <w:start w:val="1"/>
      <w:numFmt w:val="chineseCounting"/>
      <w:suff w:val="nothing"/>
      <w:lvlText w:val="（%1）"/>
      <w:lvlJc w:val="left"/>
      <w:pPr>
        <w:ind w:left="0" w:firstLine="420"/>
      </w:pPr>
      <w:rPr>
        <w:rFonts w:hint="eastAsia"/>
      </w:rPr>
    </w:lvl>
  </w:abstractNum>
  <w:abstractNum w:abstractNumId="5">
    <w:nsid w:val="F8C6D5BF"/>
    <w:multiLevelType w:val="singleLevel"/>
    <w:tmpl w:val="F8C6D5BF"/>
    <w:lvl w:ilvl="0" w:tentative="0">
      <w:start w:val="1"/>
      <w:numFmt w:val="chineseCounting"/>
      <w:suff w:val="nothing"/>
      <w:lvlText w:val="%1、"/>
      <w:lvlJc w:val="left"/>
      <w:pPr>
        <w:ind w:left="0" w:firstLine="420"/>
      </w:pPr>
      <w:rPr>
        <w:rFonts w:hint="eastAsia" w:ascii="仿宋_GB2312" w:hAnsi="仿宋_GB2312" w:eastAsia="仿宋_GB2312" w:cs="仿宋_GB2312"/>
        <w:b/>
        <w:bCs/>
      </w:rPr>
    </w:lvl>
  </w:abstractNum>
  <w:num w:numId="1">
    <w:abstractNumId w:val="5"/>
  </w:num>
  <w:num w:numId="2">
    <w:abstractNumId w:val="4"/>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nforcement="0"/>
  <w:displayHorizontalDrawingGridEvery w:val="1"/>
  <w:displayVerticalDrawingGridEvery w:val="1"/>
  <w:noPunctuationKerning w:val="1"/>
  <w:footnotePr>
    <w:footnote w:id="0"/>
    <w:footnote w:id="1"/>
  </w:footnotePr>
  <w:endnotePr>
    <w:endnote w:id="0"/>
    <w:endnote w:id="1"/>
  </w:endnotePr>
  <w:compat>
    <w:balanceSingleByteDoubleByteWidth/>
    <w:ulTrailSpace/>
    <w:doNotExpandShiftReturn/>
    <w:doNotWrapTextWithPunct/>
    <w:doNotUseEastAsianBreakRules/>
    <w:useFELayout/>
    <w:compatSetting w:name="compatibilityMode" w:uri="http://schemas.microsoft.com/office/word" w:val="16"/>
    <w:compatSetting w:name="overrideTableStyleFontSizeAndJustification" w:uri="http://schemas.microsoft.com/office/word" w:val="1"/>
  </w:compat>
  <w:rsids>
    <w:rsidRoot w:val="00000000"/>
    <w:rsid w:val="00D42ADB"/>
    <w:rsid w:val="013712F7"/>
    <w:rsid w:val="01800398"/>
    <w:rsid w:val="01AC4C6D"/>
    <w:rsid w:val="022B2C0A"/>
    <w:rsid w:val="02554B80"/>
    <w:rsid w:val="02810A7C"/>
    <w:rsid w:val="032709C8"/>
    <w:rsid w:val="03AD331B"/>
    <w:rsid w:val="0419369A"/>
    <w:rsid w:val="042D70C2"/>
    <w:rsid w:val="04826C72"/>
    <w:rsid w:val="050D22BB"/>
    <w:rsid w:val="05CB02E3"/>
    <w:rsid w:val="06431F64"/>
    <w:rsid w:val="068976C4"/>
    <w:rsid w:val="06A63A1E"/>
    <w:rsid w:val="06B864DA"/>
    <w:rsid w:val="06CD0047"/>
    <w:rsid w:val="07414C7E"/>
    <w:rsid w:val="07AC659B"/>
    <w:rsid w:val="07E35D35"/>
    <w:rsid w:val="081B791A"/>
    <w:rsid w:val="0838088B"/>
    <w:rsid w:val="088D22D9"/>
    <w:rsid w:val="0926412B"/>
    <w:rsid w:val="09F558AC"/>
    <w:rsid w:val="0A88660F"/>
    <w:rsid w:val="0ACE5AFD"/>
    <w:rsid w:val="0C644F23"/>
    <w:rsid w:val="0C9A224E"/>
    <w:rsid w:val="0CD413DD"/>
    <w:rsid w:val="0CE0055A"/>
    <w:rsid w:val="0D573220"/>
    <w:rsid w:val="0D7102BB"/>
    <w:rsid w:val="0D9F467B"/>
    <w:rsid w:val="0E3863F6"/>
    <w:rsid w:val="0E727756"/>
    <w:rsid w:val="0EB540D3"/>
    <w:rsid w:val="0ED51137"/>
    <w:rsid w:val="0F2E38DE"/>
    <w:rsid w:val="1088747A"/>
    <w:rsid w:val="108F039F"/>
    <w:rsid w:val="1098511E"/>
    <w:rsid w:val="110A3DFB"/>
    <w:rsid w:val="11835E33"/>
    <w:rsid w:val="12273E8C"/>
    <w:rsid w:val="12E326D0"/>
    <w:rsid w:val="149A5C9C"/>
    <w:rsid w:val="14EF0CF0"/>
    <w:rsid w:val="155344FA"/>
    <w:rsid w:val="15B30AF5"/>
    <w:rsid w:val="15CB4977"/>
    <w:rsid w:val="15D1766F"/>
    <w:rsid w:val="161672D6"/>
    <w:rsid w:val="162E2871"/>
    <w:rsid w:val="164556D2"/>
    <w:rsid w:val="16AD4750"/>
    <w:rsid w:val="16E53451"/>
    <w:rsid w:val="16EC0C9C"/>
    <w:rsid w:val="17101C84"/>
    <w:rsid w:val="172A0249"/>
    <w:rsid w:val="173E6F21"/>
    <w:rsid w:val="17B46DA6"/>
    <w:rsid w:val="18582AC5"/>
    <w:rsid w:val="18602664"/>
    <w:rsid w:val="1A253F8B"/>
    <w:rsid w:val="1A464F9E"/>
    <w:rsid w:val="1B80591D"/>
    <w:rsid w:val="1B887C1D"/>
    <w:rsid w:val="1CC034CB"/>
    <w:rsid w:val="1CC31BD6"/>
    <w:rsid w:val="1CCA6B87"/>
    <w:rsid w:val="1D783F6A"/>
    <w:rsid w:val="1E827BFE"/>
    <w:rsid w:val="1EE86DBA"/>
    <w:rsid w:val="20131F16"/>
    <w:rsid w:val="20A011ED"/>
    <w:rsid w:val="20DD6C2F"/>
    <w:rsid w:val="21C93E23"/>
    <w:rsid w:val="2280765F"/>
    <w:rsid w:val="22C500B9"/>
    <w:rsid w:val="23943C60"/>
    <w:rsid w:val="23CB7976"/>
    <w:rsid w:val="24441CE1"/>
    <w:rsid w:val="24466FD8"/>
    <w:rsid w:val="24B403E6"/>
    <w:rsid w:val="24E54687"/>
    <w:rsid w:val="25060918"/>
    <w:rsid w:val="25115838"/>
    <w:rsid w:val="253F4153"/>
    <w:rsid w:val="2601304C"/>
    <w:rsid w:val="2612692A"/>
    <w:rsid w:val="26874D10"/>
    <w:rsid w:val="27B9574A"/>
    <w:rsid w:val="27CE17BE"/>
    <w:rsid w:val="284571DE"/>
    <w:rsid w:val="286B34B1"/>
    <w:rsid w:val="28A460A4"/>
    <w:rsid w:val="28C56F68"/>
    <w:rsid w:val="28DA09B1"/>
    <w:rsid w:val="295C18A6"/>
    <w:rsid w:val="29DF4157"/>
    <w:rsid w:val="29E0518F"/>
    <w:rsid w:val="29F55167"/>
    <w:rsid w:val="2A0135AA"/>
    <w:rsid w:val="2A1237E6"/>
    <w:rsid w:val="2A13446C"/>
    <w:rsid w:val="2A2E7A87"/>
    <w:rsid w:val="2A552AC6"/>
    <w:rsid w:val="2A8647FB"/>
    <w:rsid w:val="2A9203F3"/>
    <w:rsid w:val="2AB24C1A"/>
    <w:rsid w:val="2B352D3C"/>
    <w:rsid w:val="2BA7612C"/>
    <w:rsid w:val="2BBC5BA3"/>
    <w:rsid w:val="2BEB1CF3"/>
    <w:rsid w:val="2C3342E6"/>
    <w:rsid w:val="2C612E67"/>
    <w:rsid w:val="2D2E732D"/>
    <w:rsid w:val="2D732DDD"/>
    <w:rsid w:val="2D7D7F0E"/>
    <w:rsid w:val="2DBB27E5"/>
    <w:rsid w:val="2E176E8B"/>
    <w:rsid w:val="2E4E18AB"/>
    <w:rsid w:val="2E5D564A"/>
    <w:rsid w:val="2E953036"/>
    <w:rsid w:val="2EA0692B"/>
    <w:rsid w:val="2F0232B1"/>
    <w:rsid w:val="30917F49"/>
    <w:rsid w:val="30E402A4"/>
    <w:rsid w:val="30F9244C"/>
    <w:rsid w:val="313A6116"/>
    <w:rsid w:val="3165340A"/>
    <w:rsid w:val="32041B05"/>
    <w:rsid w:val="32087FC3"/>
    <w:rsid w:val="322076ED"/>
    <w:rsid w:val="32637A6C"/>
    <w:rsid w:val="32AF043E"/>
    <w:rsid w:val="32B800B5"/>
    <w:rsid w:val="335970BA"/>
    <w:rsid w:val="339F04B3"/>
    <w:rsid w:val="346A0A60"/>
    <w:rsid w:val="348B2B5C"/>
    <w:rsid w:val="364049F9"/>
    <w:rsid w:val="36DC3160"/>
    <w:rsid w:val="36E52680"/>
    <w:rsid w:val="3732290D"/>
    <w:rsid w:val="37A274CC"/>
    <w:rsid w:val="37C95FBA"/>
    <w:rsid w:val="380751D0"/>
    <w:rsid w:val="3862023B"/>
    <w:rsid w:val="393A1C46"/>
    <w:rsid w:val="39461AFC"/>
    <w:rsid w:val="3A016339"/>
    <w:rsid w:val="3AA51419"/>
    <w:rsid w:val="3ADE7262"/>
    <w:rsid w:val="3B7C6974"/>
    <w:rsid w:val="3BD35D09"/>
    <w:rsid w:val="3C597D99"/>
    <w:rsid w:val="3D1E7A4C"/>
    <w:rsid w:val="3D306724"/>
    <w:rsid w:val="3E345E22"/>
    <w:rsid w:val="3E592839"/>
    <w:rsid w:val="3E734A16"/>
    <w:rsid w:val="3F6B234E"/>
    <w:rsid w:val="3F95733A"/>
    <w:rsid w:val="40E83499"/>
    <w:rsid w:val="40EE0EEF"/>
    <w:rsid w:val="40F938F8"/>
    <w:rsid w:val="41114D6F"/>
    <w:rsid w:val="4125322C"/>
    <w:rsid w:val="418807D8"/>
    <w:rsid w:val="42933225"/>
    <w:rsid w:val="42FB5880"/>
    <w:rsid w:val="439224FA"/>
    <w:rsid w:val="43EF4B3E"/>
    <w:rsid w:val="442125CF"/>
    <w:rsid w:val="44B03E8B"/>
    <w:rsid w:val="44E14D50"/>
    <w:rsid w:val="45266E38"/>
    <w:rsid w:val="452B4928"/>
    <w:rsid w:val="457B2B2E"/>
    <w:rsid w:val="45B47DEE"/>
    <w:rsid w:val="461546B6"/>
    <w:rsid w:val="46535859"/>
    <w:rsid w:val="469E0050"/>
    <w:rsid w:val="48BD79FB"/>
    <w:rsid w:val="4902402D"/>
    <w:rsid w:val="49951AC7"/>
    <w:rsid w:val="49971F00"/>
    <w:rsid w:val="49CE6321"/>
    <w:rsid w:val="4A4F6337"/>
    <w:rsid w:val="4AB663B6"/>
    <w:rsid w:val="4AF40152"/>
    <w:rsid w:val="4C59524B"/>
    <w:rsid w:val="4C6406CA"/>
    <w:rsid w:val="4DE70FB6"/>
    <w:rsid w:val="4DEB6377"/>
    <w:rsid w:val="4E1F519D"/>
    <w:rsid w:val="4E41068C"/>
    <w:rsid w:val="4E497A3B"/>
    <w:rsid w:val="4E4A18B3"/>
    <w:rsid w:val="4E686288"/>
    <w:rsid w:val="4EAF5DA4"/>
    <w:rsid w:val="4ED02121"/>
    <w:rsid w:val="4FED4628"/>
    <w:rsid w:val="502304A5"/>
    <w:rsid w:val="50893D95"/>
    <w:rsid w:val="509E3FEA"/>
    <w:rsid w:val="50B74101"/>
    <w:rsid w:val="512C2CFB"/>
    <w:rsid w:val="519446F2"/>
    <w:rsid w:val="51D72D57"/>
    <w:rsid w:val="51E14DCF"/>
    <w:rsid w:val="51E32D51"/>
    <w:rsid w:val="51E44D8E"/>
    <w:rsid w:val="527C0957"/>
    <w:rsid w:val="52C024F1"/>
    <w:rsid w:val="52C8312A"/>
    <w:rsid w:val="53011BFC"/>
    <w:rsid w:val="53CD54EA"/>
    <w:rsid w:val="551C6100"/>
    <w:rsid w:val="551E5284"/>
    <w:rsid w:val="55885AAD"/>
    <w:rsid w:val="56644CAD"/>
    <w:rsid w:val="569F494B"/>
    <w:rsid w:val="56BB05D4"/>
    <w:rsid w:val="575365CB"/>
    <w:rsid w:val="57782039"/>
    <w:rsid w:val="577E64AD"/>
    <w:rsid w:val="57DB0E60"/>
    <w:rsid w:val="5816663A"/>
    <w:rsid w:val="58240E03"/>
    <w:rsid w:val="5889491C"/>
    <w:rsid w:val="5937393A"/>
    <w:rsid w:val="59467ABA"/>
    <w:rsid w:val="599F7D79"/>
    <w:rsid w:val="5A7B164E"/>
    <w:rsid w:val="5A8819AC"/>
    <w:rsid w:val="5AB67D0C"/>
    <w:rsid w:val="5B4A632A"/>
    <w:rsid w:val="5B511B62"/>
    <w:rsid w:val="5B5B6DEC"/>
    <w:rsid w:val="5BF5087D"/>
    <w:rsid w:val="5CA2678B"/>
    <w:rsid w:val="5D4E550A"/>
    <w:rsid w:val="5F4B3119"/>
    <w:rsid w:val="5F4D50E3"/>
    <w:rsid w:val="5FF6025B"/>
    <w:rsid w:val="60602BF4"/>
    <w:rsid w:val="60C05441"/>
    <w:rsid w:val="60F63558"/>
    <w:rsid w:val="619C1998"/>
    <w:rsid w:val="61B03707"/>
    <w:rsid w:val="61F10CDA"/>
    <w:rsid w:val="62257C51"/>
    <w:rsid w:val="639D7CDB"/>
    <w:rsid w:val="64245B16"/>
    <w:rsid w:val="64587FD2"/>
    <w:rsid w:val="64695B2D"/>
    <w:rsid w:val="64B60B6A"/>
    <w:rsid w:val="651E0792"/>
    <w:rsid w:val="652E7D23"/>
    <w:rsid w:val="659D53C0"/>
    <w:rsid w:val="667E2026"/>
    <w:rsid w:val="66C67412"/>
    <w:rsid w:val="676B6F42"/>
    <w:rsid w:val="67902011"/>
    <w:rsid w:val="67FB06AE"/>
    <w:rsid w:val="68755F4F"/>
    <w:rsid w:val="695B03FD"/>
    <w:rsid w:val="696254EC"/>
    <w:rsid w:val="6A806C6B"/>
    <w:rsid w:val="6A837C0B"/>
    <w:rsid w:val="6A927DA5"/>
    <w:rsid w:val="6A9E40D9"/>
    <w:rsid w:val="6B16335A"/>
    <w:rsid w:val="6B67752D"/>
    <w:rsid w:val="6B76775F"/>
    <w:rsid w:val="6B8B77E1"/>
    <w:rsid w:val="6B8E4D79"/>
    <w:rsid w:val="6BBE14F0"/>
    <w:rsid w:val="6BF877C9"/>
    <w:rsid w:val="6C084091"/>
    <w:rsid w:val="6CB5516F"/>
    <w:rsid w:val="6CE36AAC"/>
    <w:rsid w:val="6DEC3919"/>
    <w:rsid w:val="6E305180"/>
    <w:rsid w:val="6E4B16EE"/>
    <w:rsid w:val="6E571F50"/>
    <w:rsid w:val="6E9E6E93"/>
    <w:rsid w:val="6EDB600A"/>
    <w:rsid w:val="6F192FC7"/>
    <w:rsid w:val="6FE050A8"/>
    <w:rsid w:val="713C5D03"/>
    <w:rsid w:val="71461992"/>
    <w:rsid w:val="717E7B9E"/>
    <w:rsid w:val="71C1726B"/>
    <w:rsid w:val="72247F25"/>
    <w:rsid w:val="726B7AE7"/>
    <w:rsid w:val="72D80D10"/>
    <w:rsid w:val="732A1122"/>
    <w:rsid w:val="734844CC"/>
    <w:rsid w:val="735F6D3B"/>
    <w:rsid w:val="73FE6E48"/>
    <w:rsid w:val="742E7D48"/>
    <w:rsid w:val="745512DA"/>
    <w:rsid w:val="74D20D69"/>
    <w:rsid w:val="75073B03"/>
    <w:rsid w:val="75443467"/>
    <w:rsid w:val="75727DB2"/>
    <w:rsid w:val="757C700C"/>
    <w:rsid w:val="75986327"/>
    <w:rsid w:val="76840E8E"/>
    <w:rsid w:val="7693567A"/>
    <w:rsid w:val="76DB492B"/>
    <w:rsid w:val="77CB2BF1"/>
    <w:rsid w:val="7835260B"/>
    <w:rsid w:val="784F55D0"/>
    <w:rsid w:val="78A23B1E"/>
    <w:rsid w:val="79992D84"/>
    <w:rsid w:val="79A73866"/>
    <w:rsid w:val="7AA65250"/>
    <w:rsid w:val="7C02079E"/>
    <w:rsid w:val="7C5612C2"/>
    <w:rsid w:val="7CCB71F0"/>
    <w:rsid w:val="7D5D2456"/>
    <w:rsid w:val="7D8C5F10"/>
    <w:rsid w:val="7E8E776C"/>
    <w:rsid w:val="7EC01C08"/>
    <w:rsid w:val="7FA224A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iPriority="99"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before="0" w:beforeLines="0" w:after="0" w:afterLines="0" w:line="240" w:lineRule="auto"/>
      <w:jc w:val="both"/>
    </w:pPr>
    <w:rPr>
      <w:rFonts w:ascii="Calibri" w:hAnsi="Calibri" w:eastAsia="等线" w:cs="21"/>
      <w:sz w:val="22"/>
      <w:szCs w:val="22"/>
      <w:lang w:val="en-US" w:eastAsia="en-US" w:bidi="ar-SA"/>
    </w:rPr>
  </w:style>
  <w:style w:type="paragraph" w:styleId="3">
    <w:name w:val="heading 1"/>
    <w:basedOn w:val="1"/>
    <w:next w:val="1"/>
    <w:link w:val="19"/>
    <w:qFormat/>
    <w:uiPriority w:val="9"/>
    <w:pPr>
      <w:keepNext/>
      <w:keepLines/>
      <w:spacing w:before="480"/>
      <w:outlineLvl w:val="0"/>
    </w:pPr>
    <w:rPr>
      <w:rFonts w:asciiTheme="majorHAnsi" w:hAnsiTheme="majorHAnsi" w:eastAsiaTheme="majorEastAsia" w:cstheme="majorBidi"/>
      <w:b/>
      <w:bCs/>
      <w:color w:val="000000"/>
      <w:sz w:val="28"/>
      <w:szCs w:val="28"/>
    </w:rPr>
  </w:style>
  <w:style w:type="paragraph" w:styleId="4">
    <w:name w:val="heading 2"/>
    <w:basedOn w:val="1"/>
    <w:next w:val="1"/>
    <w:link w:val="20"/>
    <w:unhideWhenUsed/>
    <w:qFormat/>
    <w:uiPriority w:val="9"/>
    <w:pPr>
      <w:keepNext/>
      <w:keepLines/>
      <w:spacing w:before="200"/>
      <w:outlineLvl w:val="1"/>
    </w:pPr>
    <w:rPr>
      <w:rFonts w:asciiTheme="majorHAnsi" w:hAnsiTheme="majorHAnsi" w:eastAsiaTheme="majorEastAsia" w:cstheme="majorBidi"/>
      <w:b/>
      <w:bCs/>
      <w:color w:val="000000"/>
      <w:sz w:val="26"/>
      <w:szCs w:val="26"/>
    </w:rPr>
  </w:style>
  <w:style w:type="paragraph" w:styleId="2">
    <w:name w:val="heading 3"/>
    <w:basedOn w:val="1"/>
    <w:next w:val="1"/>
    <w:link w:val="21"/>
    <w:unhideWhenUsed/>
    <w:qFormat/>
    <w:uiPriority w:val="9"/>
    <w:pPr>
      <w:keepNext/>
      <w:keepLines/>
      <w:spacing w:before="200"/>
      <w:outlineLvl w:val="2"/>
    </w:pPr>
    <w:rPr>
      <w:rFonts w:asciiTheme="majorHAnsi" w:hAnsiTheme="majorHAnsi" w:eastAsiaTheme="majorEastAsia" w:cstheme="majorBidi"/>
      <w:b/>
      <w:bCs/>
      <w:color w:val="000000"/>
    </w:rPr>
  </w:style>
  <w:style w:type="paragraph" w:styleId="5">
    <w:name w:val="heading 4"/>
    <w:basedOn w:val="1"/>
    <w:next w:val="1"/>
    <w:link w:val="22"/>
    <w:unhideWhenUsed/>
    <w:qFormat/>
    <w:uiPriority w:val="9"/>
    <w:pPr>
      <w:keepNext/>
      <w:keepLines/>
      <w:spacing w:before="200"/>
      <w:outlineLvl w:val="3"/>
    </w:pPr>
    <w:rPr>
      <w:rFonts w:asciiTheme="majorHAnsi" w:hAnsiTheme="majorHAnsi" w:eastAsiaTheme="majorEastAsia" w:cstheme="majorBidi"/>
      <w:b/>
      <w:bCs/>
      <w:color w:val="000000"/>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99"/>
    <w:pPr>
      <w:ind w:left="720"/>
    </w:pPr>
  </w:style>
  <w:style w:type="paragraph" w:styleId="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8">
    <w:name w:val="header"/>
    <w:basedOn w:val="1"/>
    <w:link w:val="18"/>
    <w:unhideWhenUsed/>
    <w:qFormat/>
    <w:uiPriority w:val="99"/>
    <w:pPr>
      <w:tabs>
        <w:tab w:val="center" w:pos="4680"/>
        <w:tab w:val="right" w:pos="9360"/>
      </w:tabs>
    </w:pPr>
  </w:style>
  <w:style w:type="paragraph" w:styleId="9">
    <w:name w:val="Subtitle"/>
    <w:basedOn w:val="1"/>
    <w:next w:val="1"/>
    <w:link w:val="23"/>
    <w:qFormat/>
    <w:uiPriority w:val="11"/>
    <w:pPr>
      <w:ind w:left="86"/>
    </w:pPr>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0">
    <w:name w:val="Normal (Web)"/>
    <w:basedOn w:val="1"/>
    <w:semiHidden/>
    <w:unhideWhenUsed/>
    <w:qFormat/>
    <w:uiPriority w:val="99"/>
    <w:rPr>
      <w:sz w:val="24"/>
    </w:rPr>
  </w:style>
  <w:style w:type="paragraph" w:styleId="11">
    <w:name w:val="Title"/>
    <w:basedOn w:val="1"/>
    <w:next w:val="1"/>
    <w:link w:val="24"/>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table" w:styleId="13">
    <w:name w:val="Table Grid"/>
    <w:basedOn w:val="12"/>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Strong"/>
    <w:basedOn w:val="14"/>
    <w:semiHidden/>
    <w:unhideWhenUsed/>
    <w:qFormat/>
    <w:uiPriority w:val="99"/>
    <w:rPr>
      <w:b/>
    </w:rPr>
  </w:style>
  <w:style w:type="character" w:styleId="16">
    <w:name w:val="Emphasis"/>
    <w:basedOn w:val="14"/>
    <w:qFormat/>
    <w:uiPriority w:val="20"/>
    <w:rPr>
      <w:i/>
      <w:iCs/>
    </w:rPr>
  </w:style>
  <w:style w:type="character" w:styleId="17">
    <w:name w:val="Hyperlink"/>
    <w:basedOn w:val="14"/>
    <w:unhideWhenUsed/>
    <w:qFormat/>
    <w:uiPriority w:val="99"/>
    <w:rPr>
      <w:color w:val="0000FF" w:themeColor="hyperlink"/>
      <w:u w:val="single"/>
      <w14:textFill>
        <w14:solidFill>
          <w14:schemeClr w14:val="hlink"/>
        </w14:solidFill>
      </w14:textFill>
    </w:rPr>
  </w:style>
  <w:style w:type="character" w:customStyle="1" w:styleId="18">
    <w:name w:val="Header Char"/>
    <w:basedOn w:val="14"/>
    <w:link w:val="8"/>
    <w:qFormat/>
    <w:uiPriority w:val="99"/>
  </w:style>
  <w:style w:type="character" w:customStyle="1" w:styleId="19">
    <w:name w:val="Heading 1 Char"/>
    <w:basedOn w:val="1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20">
    <w:name w:val="Heading 2 Char"/>
    <w:basedOn w:val="1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21">
    <w:name w:val="Heading 3 Char"/>
    <w:basedOn w:val="14"/>
    <w:link w:val="2"/>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2">
    <w:name w:val="Heading 4 Char"/>
    <w:basedOn w:val="14"/>
    <w:link w:val="5"/>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3">
    <w:name w:val="Subtitle Char"/>
    <w:basedOn w:val="14"/>
    <w:link w:val="9"/>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24">
    <w:name w:val="Title Char"/>
    <w:basedOn w:val="14"/>
    <w:link w:val="11"/>
    <w:qFormat/>
    <w:uiPriority w:val="10"/>
    <w:rPr>
      <w:rFonts w:asciiTheme="majorHAnsi" w:hAnsiTheme="majorHAnsi" w:eastAsiaTheme="majorEastAsia" w:cstheme="majorBidi"/>
      <w:color w:val="17375E" w:themeColor="text2" w:themeShade="BF"/>
      <w:spacing w:val="5"/>
      <w:kern w:val="28"/>
      <w:sz w:val="52"/>
      <w:szCs w:val="52"/>
    </w:rPr>
  </w:style>
  <w:style w:type="paragraph" w:customStyle="1" w:styleId="25">
    <w:name w:val=" Char"/>
    <w:basedOn w:val="1"/>
    <w:next w:val="1"/>
    <w:qFormat/>
    <w:uiPriority w:val="0"/>
    <w:pPr>
      <w:autoSpaceDE w:val="0"/>
      <w:autoSpaceDN w:val="0"/>
      <w:adjustRightInd w:val="0"/>
      <w:snapToGrid w:val="0"/>
      <w:spacing w:before="50" w:after="50" w:line="360" w:lineRule="auto"/>
      <w:ind w:firstLine="560" w:firstLineChars="200"/>
    </w:pPr>
    <w:rPr>
      <w:rFonts w:eastAsia="仿宋_GB2312"/>
      <w:color w:val="000000"/>
      <w:sz w:val="24"/>
    </w:rPr>
  </w:style>
  <w:style w:type="paragraph" w:customStyle="1" w:styleId="26">
    <w:name w:val="正文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6c3957cb-4332-480a-ba65-2745cb2b090b</errorID>
      <errorWord>，</errorWord>
      <group>L1_Word</group>
      <groupName>字词问题</groupName>
      <ability>L2_Typo</ability>
      <abilityName>字词错误</abilityName>
      <candidateList>
        <item>，必</item>
      </candidateList>
      <explain/>
      <paraID>772CDBA7</paraID>
      <start>15</start>
      <end>18</end>
      <status>modified</status>
      <modifiedWord>，必</modifiedWord>
      <trackRevisions>true</trackRevisions>
    </reviewItem>
    <reviewItem>
      <errorID>57d87216-5176-4027-9071-6f7e04dc11b5</errorID>
      <errorWord>：</errorWord>
      <group>L1_Punc</group>
      <groupName>标点问题</groupName>
      <ability>L2_Punc_CN</ability>
      <abilityName>标点符号问题</abilityName>
      <candidateList>
        <item/>
      </candidateList>
      <explain/>
      <paraID>677859C8</paraID>
      <start>42</start>
      <end>43</end>
      <status>unmodified</status>
      <modifiedWord/>
      <trackRevisions>false</trackRevisions>
    </reviewItem>
    <reviewItem>
      <errorID>4be86887-982d-4474-b2ab-8f1369534640</errorID>
      <errorWord>其他任何费用</errorWord>
      <group>L1_Grammar</group>
      <groupName>语法问题</groupName>
      <ability>L2_Grammar</ability>
      <abilityName>语法错误</abilityName>
      <candidateList>
        <item>其他费用</item>
      </candidateList>
      <explain/>
      <paraID>677859C8</paraID>
      <start>109</start>
      <end>115</end>
      <status>unmodified</status>
      <modifiedWord/>
      <trackRevisions>false</trackRevisions>
    </reviewItem>
  </reviewItems>
  <config/>
</contractReview>
</file>

<file path=customXml/itemProps1.xml><?xml version="1.0" encoding="utf-8"?>
<ds:datastoreItem xmlns:ds="http://schemas.openxmlformats.org/officeDocument/2006/customXml" ds:itemID="{9611ed6f-6da6-44f1-b751-42807557263e}">
  <ds:schemaRefs/>
</ds:datastoreItem>
</file>

<file path=docProps/app.xml><?xml version="1.0" encoding="utf-8"?>
<Properties xmlns="http://schemas.openxmlformats.org/officeDocument/2006/extended-properties" xmlns:vt="http://schemas.openxmlformats.org/officeDocument/2006/docPropsVTypes">
  <Pages>4</Pages>
  <Words>1687</Words>
  <Characters>1742</Characters>
  <TotalTime>7</TotalTime>
  <ScaleCrop>false</ScaleCrop>
  <LinksUpToDate>false</LinksUpToDate>
  <CharactersWithSpaces>1744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2026-07-30T03:17:00Z</dcterms:created>
  <dc:creator>M</dc:creator>
  <cp:lastModifiedBy>依仪倚亿</cp:lastModifiedBy>
  <cp:lastPrinted>2026-08-26T09:03:00Z</cp:lastPrinted>
  <dcterms:modified xsi:type="dcterms:W3CDTF">2026-09-11T01:53:50Z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71828325531D4B0E9CB35406262A1C64_13</vt:lpwstr>
  </property>
  <property fmtid="{D5CDD505-2E9C-101B-9397-08002B2CF9AE}" pid="4" name="KSOTemplateDocerSaveRecord">
    <vt:lpwstr>eyJoZGlkIjoiMDk4NGZjMmZiMTdiY2Y5MzI5MzU3MmQyYWFmMWQwMjciLCJ1c2VySWQiOiIxMTA2MzQxODAxIn0=</vt:lpwstr>
  </property>
</Properties>
</file>